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BB10" w14:textId="77777777" w:rsidR="00637D1F" w:rsidRDefault="00637D1F" w:rsidP="00637D1F">
      <w:pPr>
        <w:spacing w:line="560" w:lineRule="exact"/>
        <w:jc w:val="center"/>
        <w:rPr>
          <w:rFonts w:ascii="华文中宋" w:eastAsia="华文中宋" w:hAnsi="华文中宋" w:hint="eastAsia"/>
          <w:b/>
          <w:sz w:val="32"/>
          <w:szCs w:val="32"/>
        </w:rPr>
      </w:pPr>
      <w:r>
        <w:rPr>
          <w:rFonts w:ascii="华文中宋" w:eastAsia="华文中宋" w:hAnsi="华文中宋" w:hint="eastAsia"/>
          <w:b/>
          <w:sz w:val="32"/>
          <w:szCs w:val="32"/>
        </w:rPr>
        <w:t>第二十一届上海国际汽车工业展览会</w:t>
      </w:r>
    </w:p>
    <w:p w14:paraId="22C64E93" w14:textId="6D1D43DC" w:rsidR="00637D1F" w:rsidRPr="007319FE" w:rsidRDefault="00637D1F" w:rsidP="00637D1F">
      <w:pPr>
        <w:spacing w:line="560" w:lineRule="exact"/>
        <w:jc w:val="center"/>
        <w:rPr>
          <w:rFonts w:ascii="华文中宋" w:eastAsia="华文中宋" w:hAnsi="华文中宋" w:hint="eastAsia"/>
          <w:b/>
          <w:sz w:val="28"/>
          <w:szCs w:val="28"/>
        </w:rPr>
      </w:pPr>
      <w:r w:rsidRPr="007319FE">
        <w:rPr>
          <w:rFonts w:ascii="华文中宋" w:eastAsia="华文中宋" w:hAnsi="华文中宋" w:hint="eastAsia"/>
          <w:b/>
          <w:sz w:val="28"/>
          <w:szCs w:val="28"/>
        </w:rPr>
        <w:t>主场搭建</w:t>
      </w:r>
      <w:r w:rsidR="007319FE">
        <w:rPr>
          <w:rFonts w:ascii="华文中宋" w:eastAsia="华文中宋" w:hAnsi="华文中宋" w:hint="eastAsia"/>
          <w:b/>
          <w:sz w:val="28"/>
          <w:szCs w:val="28"/>
        </w:rPr>
        <w:t>（中方零部件）</w:t>
      </w:r>
      <w:r w:rsidRPr="007319FE">
        <w:rPr>
          <w:rFonts w:ascii="华文中宋" w:eastAsia="华文中宋" w:hAnsi="华文中宋" w:hint="eastAsia"/>
          <w:b/>
          <w:sz w:val="28"/>
          <w:szCs w:val="28"/>
        </w:rPr>
        <w:t>招标用户需求书</w:t>
      </w:r>
    </w:p>
    <w:p w14:paraId="2CC11740" w14:textId="77777777" w:rsidR="00637D1F" w:rsidRDefault="00637D1F" w:rsidP="00637D1F">
      <w:pPr>
        <w:adjustRightInd w:val="0"/>
        <w:snapToGrid w:val="0"/>
        <w:spacing w:line="440" w:lineRule="exact"/>
        <w:rPr>
          <w:rFonts w:ascii="宋体" w:hAnsi="宋体" w:hint="eastAsia"/>
          <w:sz w:val="24"/>
        </w:rPr>
      </w:pPr>
    </w:p>
    <w:p w14:paraId="06A5AE6C" w14:textId="77777777" w:rsidR="00637D1F" w:rsidRPr="00CD729F" w:rsidRDefault="00637D1F" w:rsidP="00637D1F">
      <w:pPr>
        <w:adjustRightInd w:val="0"/>
        <w:snapToGrid w:val="0"/>
        <w:spacing w:line="440" w:lineRule="exact"/>
        <w:rPr>
          <w:rFonts w:ascii="宋体" w:hAnsi="宋体" w:hint="eastAsia"/>
          <w:sz w:val="24"/>
        </w:rPr>
      </w:pPr>
      <w:r w:rsidRPr="00CD729F">
        <w:rPr>
          <w:rFonts w:ascii="宋体" w:hAnsi="宋体" w:hint="eastAsia"/>
          <w:sz w:val="24"/>
        </w:rPr>
        <w:t>主场搭建招标需求：</w:t>
      </w:r>
    </w:p>
    <w:p w14:paraId="1D21133E" w14:textId="77777777" w:rsidR="00637D1F" w:rsidRPr="00CD729F" w:rsidRDefault="00637D1F" w:rsidP="00637D1F">
      <w:pPr>
        <w:pStyle w:val="a9"/>
        <w:spacing w:line="440" w:lineRule="exact"/>
        <w:ind w:left="480"/>
        <w:rPr>
          <w:rFonts w:ascii="宋体" w:hAnsi="宋体" w:hint="eastAsia"/>
          <w:sz w:val="24"/>
          <w:u w:val="single"/>
        </w:rPr>
      </w:pPr>
      <w:r>
        <w:rPr>
          <w:rFonts w:ascii="宋体" w:hAnsi="宋体" w:hint="eastAsia"/>
          <w:sz w:val="24"/>
          <w:u w:val="single"/>
        </w:rPr>
        <w:t>第二十一届上海国际汽车工业展览会</w:t>
      </w:r>
    </w:p>
    <w:p w14:paraId="18EBF93C" w14:textId="77777777" w:rsidR="00637D1F" w:rsidRDefault="00637D1F" w:rsidP="00637D1F">
      <w:pPr>
        <w:autoSpaceDE w:val="0"/>
        <w:autoSpaceDN w:val="0"/>
        <w:adjustRightInd w:val="0"/>
        <w:snapToGrid w:val="0"/>
        <w:spacing w:line="400" w:lineRule="exact"/>
        <w:jc w:val="left"/>
        <w:rPr>
          <w:rFonts w:ascii="宋体" w:hAnsi="宋体" w:cs="宋体" w:hint="eastAsia"/>
          <w:kern w:val="0"/>
          <w:sz w:val="24"/>
        </w:rPr>
      </w:pPr>
    </w:p>
    <w:p w14:paraId="2FC51FC1" w14:textId="77777777" w:rsidR="00637D1F" w:rsidRPr="00CD729F" w:rsidRDefault="00637D1F" w:rsidP="00637D1F">
      <w:pPr>
        <w:autoSpaceDE w:val="0"/>
        <w:autoSpaceDN w:val="0"/>
        <w:adjustRightInd w:val="0"/>
        <w:snapToGrid w:val="0"/>
        <w:spacing w:line="400" w:lineRule="exact"/>
        <w:jc w:val="left"/>
        <w:rPr>
          <w:rFonts w:ascii="宋体" w:hAnsi="宋体" w:cs="宋体" w:hint="eastAsia"/>
          <w:kern w:val="0"/>
          <w:sz w:val="24"/>
        </w:rPr>
      </w:pPr>
      <w:r w:rsidRPr="00CD729F">
        <w:rPr>
          <w:rFonts w:ascii="宋体" w:hAnsi="宋体" w:cs="宋体" w:hint="eastAsia"/>
          <w:kern w:val="0"/>
          <w:sz w:val="24"/>
        </w:rPr>
        <w:t>招标内容包括：</w:t>
      </w:r>
    </w:p>
    <w:p w14:paraId="3860085B"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1.  展馆场地丈量划线的流程、方法、审核及实施方案；</w:t>
      </w:r>
    </w:p>
    <w:p w14:paraId="572D4B59"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2.  标准展位的设计、设施配置及报价；</w:t>
      </w:r>
    </w:p>
    <w:p w14:paraId="7FB06953"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 xml:space="preserve">3.  </w:t>
      </w:r>
      <w:proofErr w:type="gramStart"/>
      <w:r w:rsidRPr="00874DCE">
        <w:rPr>
          <w:rFonts w:ascii="宋体" w:hAnsi="宋体" w:cs="宋体" w:hint="eastAsia"/>
          <w:kern w:val="0"/>
          <w:sz w:val="24"/>
        </w:rPr>
        <w:t>变形标摊的</w:t>
      </w:r>
      <w:proofErr w:type="gramEnd"/>
      <w:r w:rsidRPr="00874DCE">
        <w:rPr>
          <w:rFonts w:ascii="宋体" w:hAnsi="宋体" w:cs="宋体" w:hint="eastAsia"/>
          <w:kern w:val="0"/>
          <w:sz w:val="24"/>
        </w:rPr>
        <w:t>设计方案及报价（至少1套）；</w:t>
      </w:r>
    </w:p>
    <w:p w14:paraId="2DC586BF"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4.  公共区域的地毯铺设方案及报价（室内必须用防火地毯）；</w:t>
      </w:r>
    </w:p>
    <w:p w14:paraId="0DCF0EF4"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5.  展会公共服务和导向设施的设计方案和报价（门楼、报到台、公告板、贵宾室、现场服务处、指示牌等）；</w:t>
      </w:r>
    </w:p>
    <w:p w14:paraId="5B7D57A4"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6.  光地参展商及其搭建商的报馆申请、审核、批准流程及审图收费报价，施工人员证件和施工车证的申请、审核、批准流程及收费报价，施工管理费的收取结算流程及收费报价；</w:t>
      </w:r>
    </w:p>
    <w:p w14:paraId="729826D6"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7.  光地参展商及其搭建商搭建押金的收取、监督、退还、扣罚流程方案，场馆设施损坏的赔偿及现场管理方案，现场施工安全管理和秩序维护方案；</w:t>
      </w:r>
    </w:p>
    <w:p w14:paraId="5216CE09"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8.  展台照明用电、动力用电、用水和压缩空气的申报流程、服务报价（动力用电在开展前两天开通，照明用电在开展前一天开通，电箱报价应包含电费，并单独报加急费用及提前和延时用电费用）；</w:t>
      </w:r>
    </w:p>
    <w:p w14:paraId="4FEB177E"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9.  展台吊点、电话、网络、展具、家具、电器租赁的申报流程和服务报价；</w:t>
      </w:r>
    </w:p>
    <w:p w14:paraId="08F13004"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 xml:space="preserve">10. </w:t>
      </w:r>
      <w:proofErr w:type="gramStart"/>
      <w:r w:rsidRPr="00874DCE">
        <w:rPr>
          <w:rFonts w:ascii="宋体" w:hAnsi="宋体" w:cs="宋体" w:hint="eastAsia"/>
          <w:kern w:val="0"/>
          <w:sz w:val="24"/>
        </w:rPr>
        <w:t>协助主办</w:t>
      </w:r>
      <w:proofErr w:type="gramEnd"/>
      <w:r w:rsidRPr="00874DCE">
        <w:rPr>
          <w:rFonts w:ascii="宋体" w:hAnsi="宋体" w:cs="宋体" w:hint="eastAsia"/>
          <w:kern w:val="0"/>
          <w:sz w:val="24"/>
        </w:rPr>
        <w:t>单位完成展台搭建方案和图纸登记服务，以及布展平面图的制作和修正工作；</w:t>
      </w:r>
    </w:p>
    <w:p w14:paraId="27CBCADE" w14:textId="77777777" w:rsidR="00637D1F" w:rsidRPr="00874DCE" w:rsidRDefault="00637D1F" w:rsidP="00637D1F">
      <w:pPr>
        <w:autoSpaceDE w:val="0"/>
        <w:autoSpaceDN w:val="0"/>
        <w:adjustRightInd w:val="0"/>
        <w:snapToGrid w:val="0"/>
        <w:spacing w:line="400" w:lineRule="exact"/>
        <w:ind w:left="420" w:hangingChars="175" w:hanging="420"/>
        <w:rPr>
          <w:rFonts w:ascii="宋体" w:hAnsi="宋体" w:cs="宋体" w:hint="eastAsia"/>
          <w:kern w:val="0"/>
          <w:sz w:val="24"/>
        </w:rPr>
      </w:pPr>
      <w:r w:rsidRPr="00874DCE">
        <w:rPr>
          <w:rFonts w:ascii="宋体" w:hAnsi="宋体" w:cs="宋体" w:hint="eastAsia"/>
          <w:kern w:val="0"/>
          <w:sz w:val="24"/>
        </w:rPr>
        <w:t>11. 与主办单位工作流程与时间计划、与参展商工作流程与时间计划、与场馆工作流程及时间计划、具体布撤展工作流程与时间计划；</w:t>
      </w:r>
    </w:p>
    <w:p w14:paraId="50327014" w14:textId="77777777" w:rsidR="00637D1F" w:rsidRPr="00CD729F" w:rsidRDefault="00637D1F" w:rsidP="00637D1F">
      <w:pPr>
        <w:autoSpaceDE w:val="0"/>
        <w:autoSpaceDN w:val="0"/>
        <w:adjustRightInd w:val="0"/>
        <w:snapToGrid w:val="0"/>
        <w:spacing w:line="400" w:lineRule="exact"/>
        <w:ind w:left="420" w:hangingChars="175" w:hanging="420"/>
        <w:jc w:val="left"/>
        <w:rPr>
          <w:rFonts w:ascii="宋体" w:hAnsi="宋体" w:cs="宋体" w:hint="eastAsia"/>
          <w:kern w:val="0"/>
          <w:sz w:val="22"/>
          <w:szCs w:val="22"/>
        </w:rPr>
      </w:pPr>
      <w:r w:rsidRPr="00874DCE">
        <w:rPr>
          <w:rFonts w:ascii="宋体" w:hAnsi="宋体" w:cs="宋体" w:hint="eastAsia"/>
          <w:kern w:val="0"/>
          <w:sz w:val="24"/>
        </w:rPr>
        <w:t>12. 应提交现场应急预案和处置细则。</w:t>
      </w:r>
    </w:p>
    <w:p w14:paraId="3A028968" w14:textId="77777777" w:rsidR="00637D1F" w:rsidRPr="00322960" w:rsidRDefault="00637D1F" w:rsidP="00637D1F">
      <w:pPr>
        <w:autoSpaceDE w:val="0"/>
        <w:autoSpaceDN w:val="0"/>
        <w:adjustRightInd w:val="0"/>
        <w:snapToGrid w:val="0"/>
        <w:spacing w:line="400" w:lineRule="exact"/>
        <w:ind w:leftChars="200" w:left="420" w:firstLineChars="200" w:firstLine="480"/>
        <w:rPr>
          <w:rFonts w:ascii="宋体" w:hAnsi="宋体" w:cs="宋体" w:hint="eastAsia"/>
          <w:kern w:val="0"/>
          <w:sz w:val="24"/>
        </w:rPr>
      </w:pPr>
      <w:r w:rsidRPr="00CD729F">
        <w:rPr>
          <w:rFonts w:ascii="宋体" w:hAnsi="宋体" w:cs="宋体" w:hint="eastAsia"/>
          <w:kern w:val="0"/>
          <w:sz w:val="24"/>
        </w:rPr>
        <w:t>以上招标内容作为描述参考，投标方可根据自身服务能力和服务特点增加服务内容和项目。以上服务内容均需提供相应所需要准备的资源、团队、场馆关系、沟通所需要的计划和方案以及价格方案和细则。所有投标技术内容和服务方案应保证得到场馆管理部门的确认和通过，并保证其可操作性和合理性。</w:t>
      </w:r>
    </w:p>
    <w:p w14:paraId="243D43FB" w14:textId="77777777" w:rsidR="00637D1F" w:rsidRPr="00637D1F" w:rsidRDefault="00637D1F" w:rsidP="00322960">
      <w:pPr>
        <w:autoSpaceDE w:val="0"/>
        <w:autoSpaceDN w:val="0"/>
        <w:adjustRightInd w:val="0"/>
        <w:snapToGrid w:val="0"/>
        <w:spacing w:line="400" w:lineRule="exact"/>
        <w:ind w:leftChars="200" w:left="420" w:firstLineChars="200" w:firstLine="480"/>
        <w:rPr>
          <w:rFonts w:ascii="宋体" w:hAnsi="宋体" w:cs="宋体" w:hint="eastAsia"/>
          <w:kern w:val="0"/>
          <w:sz w:val="24"/>
        </w:rPr>
      </w:pPr>
    </w:p>
    <w:sectPr w:rsidR="00637D1F" w:rsidRPr="00637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685C" w14:textId="77777777" w:rsidR="0092533B" w:rsidRDefault="0092533B" w:rsidP="00637D1F">
      <w:r>
        <w:separator/>
      </w:r>
    </w:p>
  </w:endnote>
  <w:endnote w:type="continuationSeparator" w:id="0">
    <w:p w14:paraId="1EE8A856" w14:textId="77777777" w:rsidR="0092533B" w:rsidRDefault="0092533B" w:rsidP="0063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EA59" w14:textId="77777777" w:rsidR="0092533B" w:rsidRDefault="0092533B" w:rsidP="00637D1F">
      <w:r>
        <w:separator/>
      </w:r>
    </w:p>
  </w:footnote>
  <w:footnote w:type="continuationSeparator" w:id="0">
    <w:p w14:paraId="3412C9A0" w14:textId="77777777" w:rsidR="0092533B" w:rsidRDefault="0092533B" w:rsidP="0063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60"/>
    <w:rsid w:val="000128A7"/>
    <w:rsid w:val="002D04D5"/>
    <w:rsid w:val="002F74BB"/>
    <w:rsid w:val="00322960"/>
    <w:rsid w:val="003932CE"/>
    <w:rsid w:val="00573BE0"/>
    <w:rsid w:val="005D1641"/>
    <w:rsid w:val="00637D1F"/>
    <w:rsid w:val="007319FE"/>
    <w:rsid w:val="0081002D"/>
    <w:rsid w:val="008165D6"/>
    <w:rsid w:val="00830762"/>
    <w:rsid w:val="0092533B"/>
    <w:rsid w:val="00B65E40"/>
    <w:rsid w:val="00DF3B18"/>
    <w:rsid w:val="00EC49D9"/>
    <w:rsid w:val="00FA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3BFDF"/>
  <w15:chartTrackingRefBased/>
  <w15:docId w15:val="{369552DD-0B48-46ED-9876-627919C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6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2296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296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296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296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2296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322960"/>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32296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2296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2296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96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296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296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2960"/>
    <w:rPr>
      <w:rFonts w:cstheme="majorBidi"/>
      <w:color w:val="0F4761" w:themeColor="accent1" w:themeShade="BF"/>
      <w:sz w:val="28"/>
      <w:szCs w:val="28"/>
    </w:rPr>
  </w:style>
  <w:style w:type="character" w:customStyle="1" w:styleId="50">
    <w:name w:val="标题 5 字符"/>
    <w:basedOn w:val="a0"/>
    <w:link w:val="5"/>
    <w:uiPriority w:val="9"/>
    <w:semiHidden/>
    <w:rsid w:val="00322960"/>
    <w:rPr>
      <w:rFonts w:cstheme="majorBidi"/>
      <w:color w:val="0F4761" w:themeColor="accent1" w:themeShade="BF"/>
      <w:sz w:val="24"/>
      <w:szCs w:val="24"/>
    </w:rPr>
  </w:style>
  <w:style w:type="character" w:customStyle="1" w:styleId="60">
    <w:name w:val="标题 6 字符"/>
    <w:basedOn w:val="a0"/>
    <w:link w:val="6"/>
    <w:uiPriority w:val="9"/>
    <w:semiHidden/>
    <w:rsid w:val="00322960"/>
    <w:rPr>
      <w:rFonts w:cstheme="majorBidi"/>
      <w:b/>
      <w:bCs/>
      <w:color w:val="0F4761" w:themeColor="accent1" w:themeShade="BF"/>
    </w:rPr>
  </w:style>
  <w:style w:type="character" w:customStyle="1" w:styleId="70">
    <w:name w:val="标题 7 字符"/>
    <w:basedOn w:val="a0"/>
    <w:link w:val="7"/>
    <w:uiPriority w:val="9"/>
    <w:semiHidden/>
    <w:rsid w:val="00322960"/>
    <w:rPr>
      <w:rFonts w:cstheme="majorBidi"/>
      <w:b/>
      <w:bCs/>
      <w:color w:val="595959" w:themeColor="text1" w:themeTint="A6"/>
    </w:rPr>
  </w:style>
  <w:style w:type="character" w:customStyle="1" w:styleId="80">
    <w:name w:val="标题 8 字符"/>
    <w:basedOn w:val="a0"/>
    <w:link w:val="8"/>
    <w:uiPriority w:val="9"/>
    <w:semiHidden/>
    <w:rsid w:val="00322960"/>
    <w:rPr>
      <w:rFonts w:cstheme="majorBidi"/>
      <w:color w:val="595959" w:themeColor="text1" w:themeTint="A6"/>
    </w:rPr>
  </w:style>
  <w:style w:type="character" w:customStyle="1" w:styleId="90">
    <w:name w:val="标题 9 字符"/>
    <w:basedOn w:val="a0"/>
    <w:link w:val="9"/>
    <w:uiPriority w:val="9"/>
    <w:semiHidden/>
    <w:rsid w:val="00322960"/>
    <w:rPr>
      <w:rFonts w:eastAsiaTheme="majorEastAsia" w:cstheme="majorBidi"/>
      <w:color w:val="595959" w:themeColor="text1" w:themeTint="A6"/>
    </w:rPr>
  </w:style>
  <w:style w:type="paragraph" w:styleId="a3">
    <w:name w:val="Title"/>
    <w:basedOn w:val="a"/>
    <w:next w:val="a"/>
    <w:link w:val="a4"/>
    <w:uiPriority w:val="10"/>
    <w:qFormat/>
    <w:rsid w:val="003229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9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96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22960"/>
    <w:rPr>
      <w:i/>
      <w:iCs/>
      <w:color w:val="404040" w:themeColor="text1" w:themeTint="BF"/>
    </w:rPr>
  </w:style>
  <w:style w:type="paragraph" w:styleId="a9">
    <w:name w:val="List Paragraph"/>
    <w:basedOn w:val="a"/>
    <w:uiPriority w:val="34"/>
    <w:qFormat/>
    <w:rsid w:val="0032296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22960"/>
    <w:rPr>
      <w:i/>
      <w:iCs/>
      <w:color w:val="0F4761" w:themeColor="accent1" w:themeShade="BF"/>
    </w:rPr>
  </w:style>
  <w:style w:type="paragraph" w:styleId="ab">
    <w:name w:val="Intense Quote"/>
    <w:basedOn w:val="a"/>
    <w:next w:val="a"/>
    <w:link w:val="ac"/>
    <w:uiPriority w:val="30"/>
    <w:qFormat/>
    <w:rsid w:val="0032296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322960"/>
    <w:rPr>
      <w:i/>
      <w:iCs/>
      <w:color w:val="0F4761" w:themeColor="accent1" w:themeShade="BF"/>
    </w:rPr>
  </w:style>
  <w:style w:type="character" w:styleId="ad">
    <w:name w:val="Intense Reference"/>
    <w:basedOn w:val="a0"/>
    <w:uiPriority w:val="32"/>
    <w:qFormat/>
    <w:rsid w:val="00322960"/>
    <w:rPr>
      <w:b/>
      <w:bCs/>
      <w:smallCaps/>
      <w:color w:val="0F4761" w:themeColor="accent1" w:themeShade="BF"/>
      <w:spacing w:val="5"/>
    </w:rPr>
  </w:style>
  <w:style w:type="paragraph" w:styleId="ae">
    <w:name w:val="header"/>
    <w:basedOn w:val="a"/>
    <w:link w:val="af"/>
    <w:uiPriority w:val="99"/>
    <w:unhideWhenUsed/>
    <w:rsid w:val="00637D1F"/>
    <w:pPr>
      <w:tabs>
        <w:tab w:val="center" w:pos="4153"/>
        <w:tab w:val="right" w:pos="8306"/>
      </w:tabs>
      <w:snapToGrid w:val="0"/>
      <w:jc w:val="center"/>
    </w:pPr>
    <w:rPr>
      <w:sz w:val="18"/>
      <w:szCs w:val="18"/>
    </w:rPr>
  </w:style>
  <w:style w:type="character" w:customStyle="1" w:styleId="af">
    <w:name w:val="页眉 字符"/>
    <w:basedOn w:val="a0"/>
    <w:link w:val="ae"/>
    <w:uiPriority w:val="99"/>
    <w:rsid w:val="00637D1F"/>
    <w:rPr>
      <w:rFonts w:ascii="Times New Roman" w:eastAsia="宋体" w:hAnsi="Times New Roman" w:cs="Times New Roman"/>
      <w:sz w:val="18"/>
      <w:szCs w:val="18"/>
    </w:rPr>
  </w:style>
  <w:style w:type="paragraph" w:styleId="af0">
    <w:name w:val="footer"/>
    <w:basedOn w:val="a"/>
    <w:link w:val="af1"/>
    <w:uiPriority w:val="99"/>
    <w:unhideWhenUsed/>
    <w:rsid w:val="00637D1F"/>
    <w:pPr>
      <w:tabs>
        <w:tab w:val="center" w:pos="4153"/>
        <w:tab w:val="right" w:pos="8306"/>
      </w:tabs>
      <w:snapToGrid w:val="0"/>
      <w:jc w:val="left"/>
    </w:pPr>
    <w:rPr>
      <w:sz w:val="18"/>
      <w:szCs w:val="18"/>
    </w:rPr>
  </w:style>
  <w:style w:type="character" w:customStyle="1" w:styleId="af1">
    <w:name w:val="页脚 字符"/>
    <w:basedOn w:val="a0"/>
    <w:link w:val="af0"/>
    <w:uiPriority w:val="99"/>
    <w:rsid w:val="00637D1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陶冶</dc:creator>
  <cp:keywords/>
  <dc:description/>
  <cp:lastModifiedBy>陶冶</cp:lastModifiedBy>
  <cp:revision>3</cp:revision>
  <dcterms:created xsi:type="dcterms:W3CDTF">2025-01-13T09:11:00Z</dcterms:created>
  <dcterms:modified xsi:type="dcterms:W3CDTF">2025-01-13T09:12:00Z</dcterms:modified>
</cp:coreProperties>
</file>